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129" w:rsidRPr="00391886" w:rsidRDefault="0046681B" w:rsidP="0046681B">
      <w:pPr>
        <w:spacing w:after="240" w:line="360" w:lineRule="auto"/>
        <w:jc w:val="center"/>
        <w:rPr>
          <w:rFonts w:asciiTheme="majorBidi" w:hAnsiTheme="majorBidi" w:cstheme="majorBidi"/>
          <w:b/>
          <w:bCs/>
          <w:color w:val="000000"/>
          <w:sz w:val="36"/>
          <w:szCs w:val="36"/>
        </w:rPr>
      </w:pPr>
      <w:r>
        <w:rPr>
          <w:rFonts w:asciiTheme="majorBidi" w:hAnsiTheme="majorBidi" w:cstheme="majorBidi"/>
          <w:b/>
          <w:bCs/>
          <w:color w:val="000000"/>
          <w:sz w:val="36"/>
          <w:szCs w:val="36"/>
        </w:rPr>
        <w:t xml:space="preserve">LISTE DES TABLEAUX </w:t>
      </w:r>
    </w:p>
    <w:p w:rsidR="004A0EDC" w:rsidRPr="00C90D4B" w:rsidRDefault="00C90D4B" w:rsidP="00C90D4B">
      <w:pPr>
        <w:pStyle w:val="Tabledesillustrations"/>
        <w:tabs>
          <w:tab w:val="right" w:leader="dot" w:pos="9061"/>
        </w:tabs>
        <w:spacing w:line="480" w:lineRule="auto"/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25291" w:history="1">
        <w:r w:rsidR="004A0EDC" w:rsidRPr="00C90D4B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Table 3. 1:    Notations utilisées dans la suite de ce documents.</w:t>
        </w:r>
        <w:r w:rsidR="004A0EDC" w:rsidRPr="00C90D4B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D5737F" w:rsidRPr="00C90D4B">
          <w:rPr>
            <w:rFonts w:asciiTheme="majorBidi" w:hAnsiTheme="majorBidi" w:cstheme="majorBidi"/>
            <w:noProof/>
            <w:webHidden/>
            <w:sz w:val="24"/>
            <w:szCs w:val="24"/>
          </w:rPr>
          <w:t>35</w:t>
        </w:r>
      </w:hyperlink>
    </w:p>
    <w:p w:rsidR="004A0EDC" w:rsidRPr="00C90D4B" w:rsidRDefault="00C90D4B" w:rsidP="00C90D4B">
      <w:pPr>
        <w:pStyle w:val="Tabledesillustrations"/>
        <w:tabs>
          <w:tab w:val="right" w:leader="dot" w:pos="9061"/>
        </w:tabs>
        <w:spacing w:line="480" w:lineRule="auto"/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25292" w:history="1">
        <w:r w:rsidR="004A0EDC" w:rsidRPr="00C90D4B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 xml:space="preserve">Table 3. 2 :les cas possible de changement de </w:t>
        </w:r>
        <m:oMath>
          <m:r>
            <w:rPr>
              <w:rStyle w:val="Lienhypertexte"/>
              <w:rFonts w:ascii="Cambria Math" w:hAnsi="Cambria Math" w:cstheme="majorBidi"/>
              <w:noProof/>
              <w:color w:val="auto"/>
              <w:sz w:val="24"/>
              <w:szCs w:val="24"/>
              <w:u w:val="none"/>
            </w:rPr>
            <m:t>θ</m:t>
          </m:r>
        </m:oMath>
        <w:r w:rsidR="004A0EDC" w:rsidRPr="00C90D4B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.</w:t>
        </w:r>
        <w:r w:rsidR="004A0EDC" w:rsidRPr="00C90D4B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D5737F" w:rsidRPr="00C90D4B">
          <w:rPr>
            <w:rFonts w:asciiTheme="majorBidi" w:hAnsiTheme="majorBidi" w:cstheme="majorBidi"/>
            <w:noProof/>
            <w:webHidden/>
            <w:sz w:val="24"/>
            <w:szCs w:val="24"/>
          </w:rPr>
          <w:t>50</w:t>
        </w:r>
      </w:hyperlink>
    </w:p>
    <w:p w:rsidR="008568DF" w:rsidRPr="00C90D4B" w:rsidRDefault="008568DF" w:rsidP="00C90D4B">
      <w:pPr>
        <w:pStyle w:val="Tabledesillustrations"/>
        <w:tabs>
          <w:tab w:val="right" w:leader="dot" w:pos="9061"/>
        </w:tabs>
        <w:spacing w:line="480" w:lineRule="auto"/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r w:rsidRPr="00C90D4B">
        <w:rPr>
          <w:rFonts w:asciiTheme="majorBidi" w:hAnsiTheme="majorBidi" w:cstheme="majorBidi"/>
          <w:sz w:val="24"/>
          <w:szCs w:val="24"/>
        </w:rPr>
        <w:fldChar w:fldCharType="begin"/>
      </w:r>
      <w:r w:rsidRPr="00C90D4B">
        <w:rPr>
          <w:rFonts w:asciiTheme="majorBidi" w:hAnsiTheme="majorBidi" w:cstheme="majorBidi"/>
          <w:sz w:val="24"/>
          <w:szCs w:val="24"/>
        </w:rPr>
        <w:instrText xml:space="preserve"> TOC \h \z \c "Table 4." </w:instrText>
      </w:r>
      <w:r w:rsidRPr="00C90D4B">
        <w:rPr>
          <w:rFonts w:asciiTheme="majorBidi" w:hAnsiTheme="majorBidi" w:cstheme="majorBidi"/>
          <w:sz w:val="24"/>
          <w:szCs w:val="24"/>
        </w:rPr>
        <w:fldChar w:fldCharType="separate"/>
      </w:r>
      <w:hyperlink w:anchor="_Toc452043715" w:history="1">
        <w:r w:rsidRPr="00C90D4B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Table 4. 1 :la variation entre PSO et GA.</w:t>
        </w:r>
        <w:r w:rsidRPr="00C90D4B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D5737F" w:rsidRPr="00C90D4B">
          <w:rPr>
            <w:rFonts w:asciiTheme="majorBidi" w:hAnsiTheme="majorBidi" w:cstheme="majorBidi"/>
            <w:noProof/>
            <w:webHidden/>
            <w:sz w:val="24"/>
            <w:szCs w:val="24"/>
          </w:rPr>
          <w:t>75</w:t>
        </w:r>
      </w:hyperlink>
    </w:p>
    <w:p w:rsidR="008568DF" w:rsidRPr="00C90D4B" w:rsidRDefault="00C90D4B" w:rsidP="00C90D4B">
      <w:pPr>
        <w:pStyle w:val="Tabledesillustrations"/>
        <w:tabs>
          <w:tab w:val="right" w:leader="dot" w:pos="9061"/>
        </w:tabs>
        <w:spacing w:line="480" w:lineRule="auto"/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43716" w:history="1">
        <w:r w:rsidR="008568DF" w:rsidRPr="00C90D4B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Table 4. 2 : différent relative de fitness suivent paramètre considéré entre trios algorithme</w:t>
        </w:r>
        <w:r w:rsidR="008568DF" w:rsidRPr="00C90D4B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D5737F" w:rsidRPr="00C90D4B">
          <w:rPr>
            <w:rFonts w:asciiTheme="majorBidi" w:hAnsiTheme="majorBidi" w:cstheme="majorBidi"/>
            <w:noProof/>
            <w:webHidden/>
            <w:sz w:val="24"/>
            <w:szCs w:val="24"/>
          </w:rPr>
          <w:t>77</w:t>
        </w:r>
      </w:hyperlink>
    </w:p>
    <w:p w:rsidR="008568DF" w:rsidRPr="00C90D4B" w:rsidRDefault="00C90D4B" w:rsidP="00C90D4B">
      <w:pPr>
        <w:pStyle w:val="Tabledesillustrations"/>
        <w:tabs>
          <w:tab w:val="right" w:leader="dot" w:pos="9061"/>
        </w:tabs>
        <w:spacing w:line="480" w:lineRule="auto"/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43717" w:history="1">
        <w:r w:rsidR="008568DF" w:rsidRPr="00C90D4B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Table 4. 3 : la variation du fitness par rapport le nombre de particule</w:t>
        </w:r>
        <w:r w:rsidR="008568DF" w:rsidRPr="00C90D4B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D5737F" w:rsidRPr="00C90D4B">
          <w:rPr>
            <w:rFonts w:asciiTheme="majorBidi" w:hAnsiTheme="majorBidi" w:cstheme="majorBidi"/>
            <w:noProof/>
            <w:webHidden/>
            <w:sz w:val="24"/>
            <w:szCs w:val="24"/>
          </w:rPr>
          <w:t>78</w:t>
        </w:r>
      </w:hyperlink>
    </w:p>
    <w:p w:rsidR="008568DF" w:rsidRPr="00C90D4B" w:rsidRDefault="00C90D4B" w:rsidP="00C90D4B">
      <w:pPr>
        <w:pStyle w:val="Tabledesillustrations"/>
        <w:tabs>
          <w:tab w:val="right" w:leader="dot" w:pos="9061"/>
        </w:tabs>
        <w:spacing w:line="480" w:lineRule="auto"/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43718" w:history="1">
        <w:r w:rsidR="008568DF" w:rsidRPr="00C90D4B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Table 4. 4 : la variation entre trios méthode par rapport les clients.</w:t>
        </w:r>
        <w:r w:rsidR="008568DF" w:rsidRPr="00C90D4B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D5737F" w:rsidRPr="00C90D4B">
          <w:rPr>
            <w:rFonts w:asciiTheme="majorBidi" w:hAnsiTheme="majorBidi" w:cstheme="majorBidi"/>
            <w:noProof/>
            <w:webHidden/>
            <w:sz w:val="24"/>
            <w:szCs w:val="24"/>
          </w:rPr>
          <w:t>80</w:t>
        </w:r>
      </w:hyperlink>
    </w:p>
    <w:p w:rsidR="008568DF" w:rsidRPr="00C90D4B" w:rsidRDefault="00C90D4B" w:rsidP="00C90D4B">
      <w:pPr>
        <w:pStyle w:val="Tabledesillustrations"/>
        <w:tabs>
          <w:tab w:val="right" w:leader="dot" w:pos="9061"/>
        </w:tabs>
        <w:spacing w:line="480" w:lineRule="auto"/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43719" w:history="1">
        <w:r w:rsidR="008568DF" w:rsidRPr="00C90D4B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Table 4. 5 : : la variation entre trios méthode par rapport les convecteur de routeur.</w:t>
        </w:r>
        <w:r w:rsidR="008568DF" w:rsidRPr="00C90D4B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D5737F" w:rsidRPr="00C90D4B">
          <w:rPr>
            <w:rFonts w:asciiTheme="majorBidi" w:hAnsiTheme="majorBidi" w:cstheme="majorBidi"/>
            <w:noProof/>
            <w:webHidden/>
            <w:sz w:val="24"/>
            <w:szCs w:val="24"/>
          </w:rPr>
          <w:t>81</w:t>
        </w:r>
      </w:hyperlink>
    </w:p>
    <w:p w:rsidR="008568DF" w:rsidRPr="00C90D4B" w:rsidRDefault="00C90D4B" w:rsidP="00C90D4B">
      <w:pPr>
        <w:pStyle w:val="Tabledesillustrations"/>
        <w:tabs>
          <w:tab w:val="right" w:leader="dot" w:pos="9061"/>
        </w:tabs>
        <w:spacing w:line="480" w:lineRule="auto"/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43720" w:history="1">
        <w:r w:rsidR="008568DF" w:rsidRPr="00C90D4B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Table 4. 6 : la variation entre GN et QEA et QEAA per rapport le nombre de routeur</w:t>
        </w:r>
        <w:r w:rsidR="008568DF" w:rsidRPr="00C90D4B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D5737F" w:rsidRPr="00C90D4B">
          <w:rPr>
            <w:rFonts w:asciiTheme="majorBidi" w:hAnsiTheme="majorBidi" w:cstheme="majorBidi"/>
            <w:noProof/>
            <w:webHidden/>
            <w:sz w:val="24"/>
            <w:szCs w:val="24"/>
          </w:rPr>
          <w:t>82</w:t>
        </w:r>
      </w:hyperlink>
    </w:p>
    <w:p w:rsidR="008568DF" w:rsidRPr="00C90D4B" w:rsidRDefault="00C90D4B" w:rsidP="00C90D4B">
      <w:pPr>
        <w:pStyle w:val="Tabledesillustrations"/>
        <w:tabs>
          <w:tab w:val="right" w:leader="dot" w:pos="9061"/>
        </w:tabs>
        <w:spacing w:line="480" w:lineRule="auto"/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43721" w:history="1">
        <w:r w:rsidR="008568DF" w:rsidRPr="00C90D4B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Table 4. 7 : :  la variation entre GN et QEA et QEAA per rapport le nombre de routeur</w:t>
        </w:r>
        <w:r w:rsidR="008568DF" w:rsidRPr="00C90D4B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D5737F" w:rsidRPr="00C90D4B">
          <w:rPr>
            <w:rFonts w:asciiTheme="majorBidi" w:hAnsiTheme="majorBidi" w:cstheme="majorBidi"/>
            <w:noProof/>
            <w:webHidden/>
            <w:sz w:val="24"/>
            <w:szCs w:val="24"/>
          </w:rPr>
          <w:t>83</w:t>
        </w:r>
      </w:hyperlink>
    </w:p>
    <w:p w:rsidR="008568DF" w:rsidRPr="00C90D4B" w:rsidRDefault="00C90D4B" w:rsidP="00C90D4B">
      <w:pPr>
        <w:pStyle w:val="Tabledesillustrations"/>
        <w:tabs>
          <w:tab w:val="right" w:leader="dot" w:pos="9061"/>
        </w:tabs>
        <w:spacing w:line="480" w:lineRule="auto"/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43722" w:history="1">
        <w:r w:rsidR="008568DF" w:rsidRPr="00C90D4B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Table 4. 8 :   la variation  entre GN et QEA et QEAA per rapport le nombre d’emplacement</w:t>
        </w:r>
        <w:r w:rsidR="008568DF" w:rsidRPr="00C90D4B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D5737F" w:rsidRPr="00C90D4B">
          <w:rPr>
            <w:rFonts w:asciiTheme="majorBidi" w:hAnsiTheme="majorBidi" w:cstheme="majorBidi"/>
            <w:noProof/>
            <w:webHidden/>
            <w:sz w:val="24"/>
            <w:szCs w:val="24"/>
          </w:rPr>
          <w:t>84</w:t>
        </w:r>
      </w:hyperlink>
    </w:p>
    <w:p w:rsidR="008568DF" w:rsidRPr="00C90D4B" w:rsidRDefault="00C90D4B" w:rsidP="00C90D4B">
      <w:pPr>
        <w:pStyle w:val="Tabledesillustrations"/>
        <w:tabs>
          <w:tab w:val="right" w:leader="dot" w:pos="9061"/>
        </w:tabs>
        <w:spacing w:line="480" w:lineRule="auto"/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43723" w:history="1">
        <w:r w:rsidR="008568DF" w:rsidRPr="00C90D4B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Table 4. 9 : la variation de nombre de routeur .</w:t>
        </w:r>
        <w:r w:rsidR="008568DF" w:rsidRPr="00C90D4B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D5737F" w:rsidRPr="00C90D4B">
          <w:rPr>
            <w:rFonts w:asciiTheme="majorBidi" w:hAnsiTheme="majorBidi" w:cstheme="majorBidi"/>
            <w:noProof/>
            <w:webHidden/>
            <w:sz w:val="24"/>
            <w:szCs w:val="24"/>
          </w:rPr>
          <w:t>87</w:t>
        </w:r>
      </w:hyperlink>
    </w:p>
    <w:p w:rsidR="00391886" w:rsidRPr="008568DF" w:rsidRDefault="008568DF" w:rsidP="00C90D4B">
      <w:pPr>
        <w:pStyle w:val="Tabledesillustrations"/>
        <w:tabs>
          <w:tab w:val="right" w:leader="dot" w:pos="9061"/>
        </w:tabs>
        <w:spacing w:line="480" w:lineRule="auto"/>
        <w:rPr>
          <w:rFonts w:asciiTheme="majorBidi" w:hAnsiTheme="majorBidi" w:cstheme="majorBidi"/>
          <w:sz w:val="24"/>
          <w:szCs w:val="24"/>
        </w:rPr>
      </w:pPr>
      <w:r w:rsidRPr="00C90D4B">
        <w:rPr>
          <w:rFonts w:asciiTheme="majorBidi" w:hAnsiTheme="majorBidi" w:cstheme="majorBidi"/>
          <w:sz w:val="24"/>
          <w:szCs w:val="24"/>
        </w:rPr>
        <w:fldChar w:fldCharType="end"/>
      </w:r>
      <w:bookmarkStart w:id="0" w:name="_GoBack"/>
      <w:bookmarkEnd w:id="0"/>
    </w:p>
    <w:sectPr w:rsidR="00391886" w:rsidRPr="008568DF" w:rsidSect="00391886"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886"/>
    <w:rsid w:val="00003CDE"/>
    <w:rsid w:val="002E7F28"/>
    <w:rsid w:val="00391886"/>
    <w:rsid w:val="0046681B"/>
    <w:rsid w:val="004A0EDC"/>
    <w:rsid w:val="00551F5A"/>
    <w:rsid w:val="00696825"/>
    <w:rsid w:val="008568DF"/>
    <w:rsid w:val="00C04129"/>
    <w:rsid w:val="00C90D4B"/>
    <w:rsid w:val="00D5737F"/>
    <w:rsid w:val="00E80D1F"/>
    <w:rsid w:val="00E866BF"/>
    <w:rsid w:val="00FE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076D83-B05C-48E2-B068-6C396F6A2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391886"/>
    <w:rPr>
      <w:color w:val="0000FF" w:themeColor="hyperlink"/>
      <w:u w:val="single"/>
    </w:rPr>
  </w:style>
  <w:style w:type="paragraph" w:styleId="Tabledesillustrations">
    <w:name w:val="table of figures"/>
    <w:basedOn w:val="Normal"/>
    <w:next w:val="Normal"/>
    <w:uiPriority w:val="99"/>
    <w:unhideWhenUsed/>
    <w:rsid w:val="00391886"/>
    <w:pPr>
      <w:spacing w:after="0" w:line="360" w:lineRule="auto"/>
      <w:jc w:val="both"/>
    </w:pPr>
  </w:style>
  <w:style w:type="table" w:styleId="Grilledutableau">
    <w:name w:val="Table Grid"/>
    <w:basedOn w:val="TableauNormal"/>
    <w:uiPriority w:val="39"/>
    <w:rsid w:val="008568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189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HS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Hard-Soft</dc:creator>
  <cp:lastModifiedBy>MAISON XP</cp:lastModifiedBy>
  <cp:revision>12</cp:revision>
  <dcterms:created xsi:type="dcterms:W3CDTF">2015-06-28T22:26:00Z</dcterms:created>
  <dcterms:modified xsi:type="dcterms:W3CDTF">2016-06-08T11:39:00Z</dcterms:modified>
</cp:coreProperties>
</file>